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192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Таблица динамики приема документов</w:t>
      </w:r>
    </w:p>
    <w:p>
      <w:pPr>
        <w:pStyle w:val="style0"/>
        <w:spacing w:after="0" w:lineRule="auto" w:line="19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ГБПОУ РД </w:t>
      </w: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Технический колледж</w:t>
      </w:r>
      <w:r>
        <w:rPr>
          <w:rFonts w:ascii="Times New Roman" w:hAnsi="Times New Roman"/>
          <w:b/>
          <w:sz w:val="32"/>
          <w:szCs w:val="32"/>
        </w:rPr>
        <w:t xml:space="preserve"> им. Р.Н. </w:t>
      </w:r>
      <w:r>
        <w:rPr>
          <w:rFonts w:ascii="Times New Roman" w:hAnsi="Times New Roman"/>
          <w:b/>
          <w:sz w:val="32"/>
          <w:szCs w:val="32"/>
        </w:rPr>
        <w:t>Ашуралиева</w:t>
      </w:r>
      <w:r>
        <w:rPr>
          <w:rFonts w:ascii="Times New Roman" w:hAnsi="Times New Roman"/>
          <w:b/>
          <w:sz w:val="32"/>
          <w:szCs w:val="32"/>
        </w:rPr>
        <w:t>»</w:t>
      </w:r>
    </w:p>
    <w:p>
      <w:pPr>
        <w:pStyle w:val="style0"/>
        <w:spacing w:after="0" w:lineRule="auto" w:line="19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>.202</w:t>
      </w:r>
      <w:r>
        <w:rPr>
          <w:rFonts w:ascii="Times New Roman" w:hAnsi="Times New Roman"/>
          <w:b/>
          <w:sz w:val="32"/>
          <w:szCs w:val="32"/>
        </w:rPr>
        <w:t>5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904"/>
        <w:gridCol w:w="1019"/>
        <w:gridCol w:w="1859"/>
      </w:tblGrid>
      <w:tr>
        <w:trPr/>
        <w:tc>
          <w:tcPr>
            <w:tcW w:w="575" w:type="pct"/>
            <w:tcBorders/>
            <w:vAlign w:val="center"/>
            <w:hideMark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Код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Наименование профессии/специальности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Всего</w:t>
            </w:r>
          </w:p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мест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Принято заявлений</w:t>
            </w:r>
          </w:p>
        </w:tc>
      </w:tr>
      <w:tr>
        <w:tblPrEx/>
        <w:trPr/>
        <w:tc>
          <w:tcPr>
            <w:tcW w:w="3698" w:type="pct"/>
            <w:gridSpan w:val="2"/>
            <w:tcBorders/>
          </w:tcPr>
          <w:p>
            <w:pPr>
              <w:pStyle w:val="style0"/>
              <w:spacing w:after="0" w:lineRule="auto" w:line="192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Профессии</w:t>
            </w:r>
          </w:p>
        </w:tc>
        <w:tc>
          <w:tcPr>
            <w:tcW w:w="461" w:type="pct"/>
            <w:tcBorders/>
          </w:tcPr>
          <w:p>
            <w:pPr>
              <w:pStyle w:val="style0"/>
              <w:tabs>
                <w:tab w:val="center" w:leader="none" w:pos="317"/>
              </w:tabs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center" w:leader="none" w:pos="317"/>
              </w:tabs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49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11.01.05</w:t>
            </w:r>
          </w:p>
        </w:tc>
        <w:tc>
          <w:tcPr>
            <w:tcW w:w="3123" w:type="pct"/>
            <w:tcBorders/>
          </w:tcPr>
          <w:p>
            <w:pPr>
              <w:pStyle w:val="style0"/>
              <w:tabs>
                <w:tab w:val="left" w:leader="none" w:pos="375"/>
                <w:tab w:val="right" w:leader="none" w:pos="7309"/>
              </w:tabs>
              <w:spacing w:after="0" w:lineRule="auto" w:line="192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Монтажник связи</w:t>
            </w:r>
          </w:p>
        </w:tc>
        <w:tc>
          <w:tcPr>
            <w:tcW w:w="461" w:type="pct"/>
            <w:tcBorders/>
          </w:tcPr>
          <w:p>
            <w:pPr>
              <w:pStyle w:val="style0"/>
              <w:tabs>
                <w:tab w:val="center" w:leader="none" w:pos="317"/>
              </w:tabs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179"/>
              <w:tabs>
                <w:tab w:val="center" w:leader="none" w:pos="317"/>
              </w:tabs>
              <w:spacing w:after="0" w:lineRule="auto" w:line="192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49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123" w:type="pct"/>
            <w:tcBorders/>
          </w:tcPr>
          <w:p>
            <w:pPr>
              <w:pStyle w:val="style0"/>
              <w:spacing w:after="0" w:lineRule="auto" w:line="192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Специальности среднего звена</w:t>
            </w:r>
          </w:p>
        </w:tc>
        <w:tc>
          <w:tcPr>
            <w:tcW w:w="461" w:type="pct"/>
            <w:tcBorders/>
          </w:tcPr>
          <w:p>
            <w:pPr>
              <w:pStyle w:val="style0"/>
              <w:tabs>
                <w:tab w:val="center" w:leader="none" w:pos="317"/>
              </w:tabs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center" w:leader="none" w:pos="317"/>
              </w:tabs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35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09.02.07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Информационные системы и программирование 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617"/>
                <w:tab w:val="center" w:leader="none" w:pos="802"/>
              </w:tabs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57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09.02.1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Интеграция решений с применением технологий искусственного интеллекта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617"/>
                <w:tab w:val="center" w:leader="none" w:pos="802"/>
              </w:tabs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8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10.02.05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11.02.15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Инфокоммуникационные сети и системы связи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75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11.02.16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100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13.02.12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Электрические станции, сети и системы, их релейная защита и автоматизация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8</w:t>
            </w:r>
          </w:p>
        </w:tc>
      </w:tr>
      <w:tr>
        <w:tblPrEx/>
        <w:trPr>
          <w:trHeight w:val="565" w:hRule="atLeast"/>
        </w:trPr>
        <w:tc>
          <w:tcPr>
            <w:tcW w:w="575" w:type="pct"/>
            <w:tcBorders/>
            <w:vAlign w:val="center"/>
            <w:hideMark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13.02.13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  <w:tcBorders/>
          </w:tcPr>
          <w:p>
            <w:pPr>
              <w:pStyle w:val="style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71</w:t>
            </w:r>
          </w:p>
        </w:tc>
      </w:tr>
      <w:tr>
        <w:tblPrEx/>
        <w:trPr>
          <w:trHeight w:val="565" w:hRule="atLeast"/>
        </w:trPr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21.02.02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</w:tc>
      </w:tr>
      <w:tr>
        <w:tblPrEx/>
        <w:trPr>
          <w:trHeight w:val="565" w:hRule="atLeast"/>
        </w:trPr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25.02.08</w:t>
            </w:r>
          </w:p>
        </w:tc>
        <w:tc>
          <w:tcPr>
            <w:tcW w:w="3123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Эксплуатация беспилотных авиационных </w:t>
            </w:r>
          </w:p>
          <w:p>
            <w:pPr>
              <w:pStyle w:val="style0"/>
              <w:spacing w:after="0" w:lineRule="auto" w:line="192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систем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Style w:val="style4098"/>
                <w:rFonts w:eastAsia="Calibri"/>
                <w:sz w:val="32"/>
                <w:szCs w:val="32"/>
                <w:u w:val="none"/>
              </w:rPr>
              <w:t>50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62</w:t>
            </w:r>
          </w:p>
        </w:tc>
      </w:tr>
      <w:tr>
        <w:tblPrEx/>
        <w:trPr/>
        <w:tc>
          <w:tcPr>
            <w:tcW w:w="575" w:type="pct"/>
            <w:tcBorders/>
            <w:vAlign w:val="center"/>
            <w:hideMark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29.02.10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Операционная деятельность в логистике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</w:tr>
      <w:tr>
        <w:tblPrEx/>
        <w:trPr/>
        <w:tc>
          <w:tcPr>
            <w:tcW w:w="3698" w:type="pct"/>
            <w:gridSpan w:val="2"/>
            <w:tcBorders/>
            <w:hideMark/>
          </w:tcPr>
          <w:p>
            <w:pPr>
              <w:pStyle w:val="style0"/>
              <w:spacing w:after="0" w:lineRule="auto" w:line="192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Итого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4</w:t>
            </w:r>
          </w:p>
        </w:tc>
      </w:tr>
      <w:tr>
        <w:tblPrEx/>
        <w:trPr/>
        <w:tc>
          <w:tcPr>
            <w:tcW w:w="5000" w:type="pct"/>
            <w:gridSpan w:val="4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Платно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  <w:tcBorders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 xml:space="preserve">Экономика и бухгалтерский учет (по отраслям) 9 </w:t>
            </w: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>кл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  <w:tcBorders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 xml:space="preserve">Экономика и бухгалтерский учет (по отраслям) </w:t>
            </w:r>
          </w:p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 xml:space="preserve">11 </w:t>
            </w: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>кл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40.02.0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rPr>
                <w:rFonts w:ascii="Times New Roman" w:hAnsi="Times New Roman"/>
                <w:spacing w:val="-8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Юриспруденция</w:t>
            </w: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 xml:space="preserve">9 </w:t>
            </w: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>кл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40.02.0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rPr>
                <w:rFonts w:ascii="Times New Roman" w:hAnsi="Times New Roman"/>
                <w:spacing w:val="-8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Юриспруденция</w:t>
            </w: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 xml:space="preserve"> 11</w:t>
            </w: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>кл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>
        <w:tblPrEx/>
        <w:trPr/>
        <w:tc>
          <w:tcPr>
            <w:tcW w:w="3698" w:type="pct"/>
            <w:gridSpan w:val="2"/>
            <w:tcBorders/>
          </w:tcPr>
          <w:p>
            <w:pPr>
              <w:pStyle w:val="style0"/>
              <w:spacing w:after="0" w:lineRule="auto" w:line="192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46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41" w:type="pct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  <w:tr>
        <w:tblPrEx/>
        <w:trPr/>
        <w:tc>
          <w:tcPr>
            <w:tcW w:w="5000" w:type="pct"/>
            <w:gridSpan w:val="4"/>
            <w:tcBorders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Заочн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11.02.15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Инфокоммуникационные сети и системы связи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11.02.16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13.02.13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21.02.02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  <w:tcBorders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 xml:space="preserve">Экономика и бухгалтерский учет (по отраслям) 9 </w:t>
            </w: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>кл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  <w:tcBorders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 xml:space="preserve">Экономика и бухгалтерский учет (по отраслям) </w:t>
            </w:r>
          </w:p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 xml:space="preserve">11 </w:t>
            </w:r>
            <w:r>
              <w:rPr>
                <w:rFonts w:ascii="Times New Roman" w:hAnsi="Times New Roman"/>
                <w:color w:val="000000"/>
                <w:spacing w:val="-8"/>
                <w:sz w:val="32"/>
                <w:szCs w:val="32"/>
              </w:rPr>
              <w:t>кл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Операционная деятельность в логистике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 xml:space="preserve">9 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кл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jc w:val="both"/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Операционная деятельность в логистике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 xml:space="preserve">11 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кл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>
        <w:tblPrEx/>
        <w:trPr/>
        <w:tc>
          <w:tcPr>
            <w:tcW w:w="575" w:type="pct"/>
            <w:tcBorders/>
            <w:vAlign w:val="center"/>
          </w:tcPr>
          <w:p>
            <w:pPr>
              <w:pStyle w:val="style0"/>
              <w:spacing w:after="0" w:lineRule="auto" w:line="192"/>
              <w:ind w:right="-110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40.02.0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tcBorders/>
            <w:vAlign w:val="center"/>
          </w:tcPr>
          <w:p>
            <w:pPr>
              <w:pStyle w:val="style0"/>
              <w:spacing w:after="0" w:lineRule="auto" w:line="192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6"/>
                <w:sz w:val="32"/>
                <w:szCs w:val="32"/>
              </w:rPr>
              <w:t>Юриспруденция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>
        <w:tblPrEx/>
        <w:trPr/>
        <w:tc>
          <w:tcPr>
            <w:tcW w:w="3698" w:type="pct"/>
            <w:gridSpan w:val="2"/>
            <w:tcBorders/>
            <w:vAlign w:val="center"/>
          </w:tcPr>
          <w:p>
            <w:pPr>
              <w:pStyle w:val="style0"/>
              <w:spacing w:after="0" w:lineRule="auto" w:line="192"/>
              <w:jc w:val="right"/>
              <w:rPr>
                <w:rFonts w:ascii="Times New Roman" w:hAnsi="Times New Roman"/>
                <w:b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32"/>
                <w:szCs w:val="32"/>
              </w:rPr>
              <w:t>Итого</w:t>
            </w:r>
          </w:p>
        </w:tc>
        <w:tc>
          <w:tcPr>
            <w:tcW w:w="461" w:type="pct"/>
            <w:tcBorders/>
            <w:vAlign w:val="center"/>
          </w:tcPr>
          <w:p>
            <w:pPr>
              <w:pStyle w:val="style0"/>
              <w:spacing w:after="0" w:lineRule="auto" w:line="19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350</w:t>
            </w:r>
          </w:p>
        </w:tc>
        <w:tc>
          <w:tcPr>
            <w:tcW w:w="841" w:type="pct"/>
            <w:tcBorders/>
          </w:tcPr>
          <w:p>
            <w:pPr>
              <w:pStyle w:val="style0"/>
              <w:tabs>
                <w:tab w:val="left" w:leader="none" w:pos="448"/>
                <w:tab w:val="center" w:leader="none" w:pos="566"/>
              </w:tabs>
              <w:spacing w:after="0" w:lineRule="auto" w:line="19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61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0050202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092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1E2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nt Style13"/>
    <w:next w:val="style4097"/>
    <w:rPr>
      <w:rFonts w:ascii="Bookman Old Style" w:cs="Bookman Old Style" w:hAnsi="Bookman Old Style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Основной текст (2)"/>
    <w:basedOn w:val="style65"/>
    <w:next w:val="style4098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8"/>
      <w:szCs w:val="18"/>
      <w:u w:val="single"/>
      <w:lang w:val="ru-RU" w:bidi="ru-RU" w:eastAsia="ru-RU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99"/>
    <w:pPr>
      <w:spacing w:lineRule="auto" w:line="240"/>
    </w:pPr>
    <w:rPr>
      <w:sz w:val="20"/>
      <w:szCs w:val="20"/>
    </w:rPr>
  </w:style>
  <w:style w:type="character" w:customStyle="1" w:styleId="style4099">
    <w:name w:val="Текст примечания Знак"/>
    <w:basedOn w:val="style65"/>
    <w:next w:val="style4099"/>
    <w:link w:val="style30"/>
    <w:uiPriority w:val="99"/>
    <w:rPr>
      <w:rFonts w:ascii="Calibri" w:cs="Times New Roman" w:eastAsia="Calibri" w:hAnsi="Calibri"/>
      <w:sz w:val="20"/>
      <w:szCs w:val="20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Тема примечания Знак"/>
    <w:basedOn w:val="style4099"/>
    <w:next w:val="style4100"/>
    <w:link w:val="style106"/>
    <w:uiPriority w:val="99"/>
    <w:rPr>
      <w:rFonts w:ascii="Calibri" w:cs="Times New Roman" w:eastAsia="Calibri" w:hAnsi="Calibri"/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267</Words>
  <Pages>1</Pages>
  <Characters>1667</Characters>
  <Application>WPS Office</Application>
  <DocSecurity>0</DocSecurity>
  <Paragraphs>163</Paragraphs>
  <ScaleCrop>false</ScaleCrop>
  <Company>Reanimator Extreme Edition</Company>
  <LinksUpToDate>false</LinksUpToDate>
  <CharactersWithSpaces>1878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2025-08-17T22:05:53Z</dcterms:created>
  <dc:creator>1</dc:creator>
  <lastModifiedBy>OPD2415</lastModifiedBy>
  <lastPrinted>2024-08-05T12:22:00Z</lastPrinted>
  <dcterms:modified xsi:type="dcterms:W3CDTF">2025-08-17T22:05:53Z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bed32fd6b7f04345b4711f860c34808e</vt:lpwstr>
  </property>
</Properties>
</file>